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А-27/2013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октября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ФГОУ СПО "Донской государственный межрегиональный колледж строительства, экономики и предпринимательства"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ФГОУ СПО "Донской государственный межрегиональный колледж строительства, экономики и предпринимательства"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октября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